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C5E0" w14:textId="77777777" w:rsidR="00DE5341" w:rsidRDefault="00000000">
      <w:pPr>
        <w:spacing w:before="80" w:after="40"/>
      </w:pPr>
      <w:r>
        <w:rPr>
          <w:b/>
          <w:bCs/>
          <w:color w:val="1F3864"/>
          <w:sz w:val="40"/>
          <w:szCs w:val="40"/>
        </w:rPr>
        <w:t xml:space="preserve">Your Village Finances </w:t>
      </w:r>
      <w:proofErr w:type="gramStart"/>
      <w:r>
        <w:rPr>
          <w:b/>
          <w:bCs/>
          <w:color w:val="1F3864"/>
          <w:sz w:val="40"/>
          <w:szCs w:val="40"/>
        </w:rPr>
        <w:t>at a Glance</w:t>
      </w:r>
      <w:proofErr w:type="gramEnd"/>
    </w:p>
    <w:p w14:paraId="073915D8" w14:textId="77777777" w:rsidR="00DE5341" w:rsidRDefault="00000000">
      <w:pPr>
        <w:spacing w:after="120"/>
      </w:pPr>
      <w:r>
        <w:rPr>
          <w:color w:val="555555"/>
          <w:sz w:val="22"/>
          <w:szCs w:val="22"/>
        </w:rPr>
        <w:t xml:space="preserve">A Plain-Language Summary for Surfside Beach </w:t>
      </w:r>
      <w:proofErr w:type="gramStart"/>
      <w:r>
        <w:rPr>
          <w:color w:val="555555"/>
          <w:sz w:val="22"/>
          <w:szCs w:val="22"/>
        </w:rPr>
        <w:t>Residents  —</w:t>
      </w:r>
      <w:proofErr w:type="gramEnd"/>
      <w:r>
        <w:rPr>
          <w:color w:val="555555"/>
          <w:sz w:val="22"/>
          <w:szCs w:val="22"/>
        </w:rPr>
        <w:t xml:space="preserve">  Period Ending March 31, 2026</w:t>
      </w:r>
    </w:p>
    <w:p w14:paraId="3407AF80" w14:textId="77777777" w:rsidR="00DE5341" w:rsidRDefault="00000000">
      <w:pPr>
        <w:pBdr>
          <w:bottom w:val="single" w:sz="4" w:space="0" w:color="1F3864"/>
        </w:pBdr>
        <w:spacing w:before="180" w:after="60"/>
      </w:pPr>
      <w:r>
        <w:rPr>
          <w:b/>
          <w:bCs/>
          <w:color w:val="1F3864"/>
          <w:sz w:val="22"/>
          <w:szCs w:val="22"/>
        </w:rPr>
        <w:t>WHERE DOES THE VILLAGE KEEP ITS MONEY?</w:t>
      </w:r>
    </w:p>
    <w:p w14:paraId="25E48589" w14:textId="77777777" w:rsidR="00DE5341" w:rsidRDefault="00000000">
      <w:pPr>
        <w:spacing w:before="60" w:after="60"/>
      </w:pPr>
      <w:r>
        <w:rPr>
          <w:color w:val="000000"/>
        </w:rPr>
        <w:t xml:space="preserve">As of April 9, 2026, the Village holds funds across two institutions: Amegy Bank (day-to-day checking accounts) and </w:t>
      </w:r>
      <w:proofErr w:type="spellStart"/>
      <w:r>
        <w:rPr>
          <w:color w:val="000000"/>
        </w:rPr>
        <w:t>TexPool</w:t>
      </w:r>
      <w:proofErr w:type="spellEnd"/>
      <w:r>
        <w:rPr>
          <w:color w:val="000000"/>
        </w:rPr>
        <w:t xml:space="preserve"> (an interest-earning state investment pool managed by the Texas Comptroller). Together, these total:</w:t>
      </w:r>
    </w:p>
    <w:p w14:paraId="4AE3AFE9" w14:textId="77777777" w:rsidR="00DE5341" w:rsidRDefault="00DE5341">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2340"/>
        <w:gridCol w:w="2340"/>
      </w:tblGrid>
      <w:tr w:rsidR="00DE5341" w14:paraId="33F79AC6" w14:textId="77777777">
        <w:tc>
          <w:tcPr>
            <w:tcW w:w="468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20" w:type="dxa"/>
              <w:bottom w:w="70" w:type="dxa"/>
              <w:right w:w="120" w:type="dxa"/>
            </w:tcMar>
            <w:vAlign w:val="center"/>
          </w:tcPr>
          <w:p w14:paraId="1BE06101" w14:textId="77777777" w:rsidR="00DE5341" w:rsidRDefault="00000000">
            <w:r>
              <w:rPr>
                <w:b/>
                <w:bCs/>
                <w:color w:val="FFFFFF"/>
              </w:rPr>
              <w:t>Account Type</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20" w:type="dxa"/>
              <w:bottom w:w="70" w:type="dxa"/>
              <w:right w:w="120" w:type="dxa"/>
            </w:tcMar>
            <w:vAlign w:val="center"/>
          </w:tcPr>
          <w:p w14:paraId="09F6114C" w14:textId="77777777" w:rsidR="00DE5341" w:rsidRDefault="00000000">
            <w:r>
              <w:rPr>
                <w:b/>
                <w:bCs/>
                <w:color w:val="FFFFFF"/>
              </w:rPr>
              <w:t>Institution</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20" w:type="dxa"/>
              <w:bottom w:w="70" w:type="dxa"/>
              <w:right w:w="120" w:type="dxa"/>
            </w:tcMar>
            <w:vAlign w:val="center"/>
          </w:tcPr>
          <w:p w14:paraId="40025159" w14:textId="77777777" w:rsidR="00DE5341" w:rsidRDefault="00000000">
            <w:pPr>
              <w:jc w:val="right"/>
            </w:pPr>
            <w:r>
              <w:rPr>
                <w:b/>
                <w:bCs/>
                <w:color w:val="FFFFFF"/>
              </w:rPr>
              <w:t>Balance</w:t>
            </w:r>
          </w:p>
        </w:tc>
      </w:tr>
      <w:tr w:rsidR="00DE5341" w14:paraId="351D67D0" w14:textId="77777777">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3CF976CC" w14:textId="77777777" w:rsidR="00DE5341" w:rsidRDefault="00000000">
            <w:r>
              <w:rPr>
                <w:color w:val="000000"/>
              </w:rPr>
              <w:t>Amegy Bank — All Accounts (12)</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494F33EB" w14:textId="77777777" w:rsidR="00DE5341" w:rsidRDefault="00000000">
            <w:r>
              <w:rPr>
                <w:color w:val="000000"/>
              </w:rPr>
              <w:t>Amegy Bank</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7E87A6F8" w14:textId="77777777" w:rsidR="00DE5341" w:rsidRDefault="00000000">
            <w:pPr>
              <w:jc w:val="right"/>
            </w:pPr>
            <w:r>
              <w:rPr>
                <w:color w:val="000000"/>
              </w:rPr>
              <w:t>$1,332,042.98</w:t>
            </w:r>
          </w:p>
        </w:tc>
      </w:tr>
      <w:tr w:rsidR="00DE5341" w14:paraId="795D53C4"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442469CF" w14:textId="77777777" w:rsidR="00DE5341" w:rsidRDefault="00000000">
            <w:proofErr w:type="spellStart"/>
            <w:r>
              <w:rPr>
                <w:color w:val="000000"/>
              </w:rPr>
              <w:t>TexPool</w:t>
            </w:r>
            <w:proofErr w:type="spellEnd"/>
            <w:r>
              <w:rPr>
                <w:color w:val="000000"/>
              </w:rPr>
              <w:t xml:space="preserve"> Investment Accounts</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43FBFC78" w14:textId="77777777" w:rsidR="00DE5341" w:rsidRDefault="00000000">
            <w:proofErr w:type="spellStart"/>
            <w:r>
              <w:rPr>
                <w:color w:val="000000"/>
              </w:rPr>
              <w:t>TexPool</w:t>
            </w:r>
            <w:proofErr w:type="spellEnd"/>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3511725E" w14:textId="77777777" w:rsidR="00DE5341" w:rsidRDefault="00000000">
            <w:pPr>
              <w:jc w:val="right"/>
            </w:pPr>
            <w:r>
              <w:rPr>
                <w:color w:val="000000"/>
              </w:rPr>
              <w:t>$7,621,979.02</w:t>
            </w:r>
          </w:p>
        </w:tc>
      </w:tr>
      <w:tr w:rsidR="00DE5341" w14:paraId="19198496" w14:textId="77777777">
        <w:tc>
          <w:tcPr>
            <w:tcW w:w="4680" w:type="dxa"/>
            <w:gridSpan w:val="2"/>
            <w:tcBorders>
              <w:top w:val="single" w:sz="1" w:space="0" w:color="CCCCCC"/>
              <w:left w:val="single" w:sz="1" w:space="0" w:color="CCCCCC"/>
              <w:bottom w:val="single" w:sz="1" w:space="0" w:color="CCCCCC"/>
              <w:right w:val="single" w:sz="1" w:space="0" w:color="CCCCCC"/>
            </w:tcBorders>
            <w:shd w:val="clear" w:color="auto" w:fill="BDD7EE"/>
            <w:tcMar>
              <w:top w:w="70" w:type="dxa"/>
              <w:left w:w="120" w:type="dxa"/>
              <w:bottom w:w="70" w:type="dxa"/>
              <w:right w:w="120" w:type="dxa"/>
            </w:tcMar>
            <w:vAlign w:val="center"/>
          </w:tcPr>
          <w:p w14:paraId="0C637B52" w14:textId="77777777" w:rsidR="00DE5341" w:rsidRDefault="00000000">
            <w:r>
              <w:rPr>
                <w:b/>
                <w:bCs/>
                <w:color w:val="000000"/>
              </w:rPr>
              <w:t>TOTAL VILLAGE FUNDS</w:t>
            </w:r>
          </w:p>
        </w:tc>
        <w:tc>
          <w:tcPr>
            <w:tcW w:w="2340" w:type="dxa"/>
            <w:tcBorders>
              <w:top w:val="single" w:sz="1" w:space="0" w:color="CCCCCC"/>
              <w:left w:val="single" w:sz="1" w:space="0" w:color="CCCCCC"/>
              <w:bottom w:val="single" w:sz="1" w:space="0" w:color="CCCCCC"/>
              <w:right w:val="single" w:sz="1" w:space="0" w:color="CCCCCC"/>
            </w:tcBorders>
            <w:shd w:val="clear" w:color="auto" w:fill="BDD7EE"/>
            <w:tcMar>
              <w:top w:w="70" w:type="dxa"/>
              <w:left w:w="120" w:type="dxa"/>
              <w:bottom w:w="70" w:type="dxa"/>
              <w:right w:w="120" w:type="dxa"/>
            </w:tcMar>
            <w:vAlign w:val="center"/>
          </w:tcPr>
          <w:p w14:paraId="5F7EA8AB" w14:textId="77777777" w:rsidR="00DE5341" w:rsidRDefault="00000000">
            <w:pPr>
              <w:jc w:val="right"/>
            </w:pPr>
            <w:r>
              <w:rPr>
                <w:b/>
                <w:bCs/>
                <w:color w:val="1F3864"/>
              </w:rPr>
              <w:t>$8,954,021.00</w:t>
            </w:r>
          </w:p>
        </w:tc>
      </w:tr>
    </w:tbl>
    <w:p w14:paraId="03002784" w14:textId="77777777" w:rsidR="00DE5341" w:rsidRDefault="00DE5341">
      <w:pPr>
        <w:spacing w:before="40" w:after="40"/>
      </w:pPr>
    </w:p>
    <w:p w14:paraId="37F8AF32" w14:textId="30CAE71C" w:rsidR="00DE5341" w:rsidRDefault="00000000">
      <w:pPr>
        <w:spacing w:before="60" w:after="60"/>
      </w:pPr>
      <w:r>
        <w:rPr>
          <w:i/>
          <w:iCs/>
          <w:color w:val="555555"/>
          <w:sz w:val="17"/>
          <w:szCs w:val="17"/>
        </w:rPr>
        <w:t xml:space="preserve">Note: The large </w:t>
      </w:r>
      <w:proofErr w:type="spellStart"/>
      <w:r>
        <w:rPr>
          <w:i/>
          <w:iCs/>
          <w:color w:val="555555"/>
          <w:sz w:val="17"/>
          <w:szCs w:val="17"/>
        </w:rPr>
        <w:t>TexPool</w:t>
      </w:r>
      <w:proofErr w:type="spellEnd"/>
      <w:r>
        <w:rPr>
          <w:i/>
          <w:iCs/>
          <w:color w:val="555555"/>
          <w:sz w:val="17"/>
          <w:szCs w:val="17"/>
        </w:rPr>
        <w:t xml:space="preserve"> balance includes $2,463,351 in the HB1915 Restricted Reserve, which is restricted by state law and can only be used for beach cleaning, dune mitigation, and shoreline maintenance. It also includes $1,848,700 in the HOT Local Reserve and $453,502 in the Beach Fund Reserve. None of these restricted or </w:t>
      </w:r>
      <w:proofErr w:type="gramStart"/>
      <w:r>
        <w:rPr>
          <w:i/>
          <w:iCs/>
          <w:color w:val="555555"/>
          <w:sz w:val="17"/>
          <w:szCs w:val="17"/>
        </w:rPr>
        <w:t>reserve</w:t>
      </w:r>
      <w:proofErr w:type="gramEnd"/>
      <w:r>
        <w:rPr>
          <w:i/>
          <w:iCs/>
          <w:color w:val="555555"/>
          <w:sz w:val="17"/>
          <w:szCs w:val="17"/>
        </w:rPr>
        <w:t xml:space="preserve"> balances are available for general village expenses.</w:t>
      </w:r>
    </w:p>
    <w:p w14:paraId="5A65EC81" w14:textId="77777777" w:rsidR="00DE5341" w:rsidRDefault="00000000">
      <w:pPr>
        <w:pBdr>
          <w:bottom w:val="single" w:sz="4" w:space="0" w:color="1F3864"/>
        </w:pBdr>
        <w:spacing w:before="180" w:after="60"/>
      </w:pPr>
      <w:r>
        <w:rPr>
          <w:b/>
          <w:bCs/>
          <w:color w:val="1F3864"/>
          <w:sz w:val="22"/>
          <w:szCs w:val="22"/>
        </w:rPr>
        <w:t>HOW DID EACH FUND PERFORM IN MARCH 2026?</w:t>
      </w:r>
    </w:p>
    <w:p w14:paraId="132EEB74" w14:textId="77777777" w:rsidR="00DE5341" w:rsidRDefault="00000000">
      <w:pPr>
        <w:spacing w:before="60" w:after="60"/>
      </w:pPr>
      <w:r>
        <w:rPr>
          <w:color w:val="000000"/>
        </w:rPr>
        <w:t>The Village manages four separate funds, each with its own revenue sources and purpose. Here’s what happened in March:</w:t>
      </w:r>
    </w:p>
    <w:p w14:paraId="0A0B8BC6" w14:textId="77777777" w:rsidR="00DE5341" w:rsidRDefault="00DE5341">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2520"/>
        <w:gridCol w:w="1680"/>
        <w:gridCol w:w="3000"/>
      </w:tblGrid>
      <w:tr w:rsidR="00DE5341" w14:paraId="34FA894D" w14:textId="77777777">
        <w:tc>
          <w:tcPr>
            <w:tcW w:w="216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20" w:type="dxa"/>
              <w:bottom w:w="70" w:type="dxa"/>
              <w:right w:w="120" w:type="dxa"/>
            </w:tcMar>
            <w:vAlign w:val="center"/>
          </w:tcPr>
          <w:p w14:paraId="77FDDB1B" w14:textId="77777777" w:rsidR="00DE5341" w:rsidRDefault="00000000">
            <w:r>
              <w:rPr>
                <w:b/>
                <w:bCs/>
                <w:color w:val="FFFFFF"/>
              </w:rPr>
              <w:t>Fund</w:t>
            </w:r>
          </w:p>
        </w:tc>
        <w:tc>
          <w:tcPr>
            <w:tcW w:w="252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20" w:type="dxa"/>
              <w:bottom w:w="70" w:type="dxa"/>
              <w:right w:w="120" w:type="dxa"/>
            </w:tcMar>
            <w:vAlign w:val="center"/>
          </w:tcPr>
          <w:p w14:paraId="60CB9324" w14:textId="77777777" w:rsidR="00DE5341" w:rsidRDefault="00000000">
            <w:r>
              <w:rPr>
                <w:b/>
                <w:bCs/>
                <w:color w:val="FFFFFF"/>
              </w:rPr>
              <w:t>What It Pays For</w:t>
            </w:r>
          </w:p>
        </w:tc>
        <w:tc>
          <w:tcPr>
            <w:tcW w:w="168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20" w:type="dxa"/>
              <w:bottom w:w="70" w:type="dxa"/>
              <w:right w:w="120" w:type="dxa"/>
            </w:tcMar>
            <w:vAlign w:val="center"/>
          </w:tcPr>
          <w:p w14:paraId="7CD8C17D" w14:textId="77777777" w:rsidR="00DE5341" w:rsidRDefault="00000000">
            <w:pPr>
              <w:jc w:val="center"/>
            </w:pPr>
            <w:r>
              <w:rPr>
                <w:b/>
                <w:bCs/>
                <w:color w:val="FFFFFF"/>
              </w:rPr>
              <w:t>Mar. Result</w:t>
            </w:r>
          </w:p>
        </w:tc>
        <w:tc>
          <w:tcPr>
            <w:tcW w:w="30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20" w:type="dxa"/>
              <w:bottom w:w="70" w:type="dxa"/>
              <w:right w:w="120" w:type="dxa"/>
            </w:tcMar>
            <w:vAlign w:val="center"/>
          </w:tcPr>
          <w:p w14:paraId="2283CA74" w14:textId="77777777" w:rsidR="00DE5341" w:rsidRDefault="00000000">
            <w:r>
              <w:rPr>
                <w:b/>
                <w:bCs/>
                <w:color w:val="FFFFFF"/>
              </w:rPr>
              <w:t>Key Driver</w:t>
            </w:r>
          </w:p>
        </w:tc>
      </w:tr>
      <w:tr w:rsidR="00DE5341" w14:paraId="02BE6834" w14:textId="77777777">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0A721B8E" w14:textId="77777777" w:rsidR="00DE5341" w:rsidRDefault="00000000">
            <w:r>
              <w:rPr>
                <w:color w:val="000000"/>
              </w:rPr>
              <w:t>General Fund (GF)</w:t>
            </w:r>
          </w:p>
        </w:tc>
        <w:tc>
          <w:tcPr>
            <w:tcW w:w="252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5697BC20" w14:textId="77777777" w:rsidR="00DE5341" w:rsidRDefault="00000000">
            <w:r>
              <w:rPr>
                <w:color w:val="000000"/>
              </w:rPr>
              <w:t>Police, EMS, administration, roads</w:t>
            </w:r>
          </w:p>
        </w:tc>
        <w:tc>
          <w:tcPr>
            <w:tcW w:w="168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1618F18B" w14:textId="77777777" w:rsidR="00DE5341" w:rsidRDefault="00000000">
            <w:pPr>
              <w:jc w:val="center"/>
            </w:pPr>
            <w:r>
              <w:rPr>
                <w:b/>
                <w:bCs/>
                <w:color w:val="C00000"/>
              </w:rPr>
              <w:t>−$71,863</w:t>
            </w:r>
          </w:p>
        </w:tc>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55F713C6" w14:textId="77777777" w:rsidR="00DE5341" w:rsidRDefault="00000000">
            <w:r>
              <w:rPr>
                <w:color w:val="000000"/>
              </w:rPr>
              <w:t>Post-tax-season; March is typically a lower revenue month</w:t>
            </w:r>
          </w:p>
        </w:tc>
      </w:tr>
      <w:tr w:rsidR="00DE5341" w14:paraId="30805E87" w14:textId="77777777">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5DB03B20" w14:textId="77777777" w:rsidR="00DE5341" w:rsidRDefault="00000000">
            <w:r>
              <w:rPr>
                <w:color w:val="000000"/>
              </w:rPr>
              <w:t>System Fund (SF)</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4CD92939" w14:textId="77777777" w:rsidR="00DE5341" w:rsidRDefault="00000000">
            <w:r>
              <w:rPr>
                <w:color w:val="000000"/>
              </w:rPr>
              <w:t>Water, sewer &amp; garbage</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420F3E15" w14:textId="77777777" w:rsidR="00DE5341" w:rsidRDefault="00000000">
            <w:pPr>
              <w:jc w:val="center"/>
            </w:pPr>
            <w:r>
              <w:rPr>
                <w:b/>
                <w:bCs/>
                <w:color w:val="1A5C1A"/>
              </w:rPr>
              <w:t>+$15,460</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5DCD8551" w14:textId="77777777" w:rsidR="00DE5341" w:rsidRDefault="00000000">
            <w:r>
              <w:rPr>
                <w:color w:val="000000"/>
              </w:rPr>
              <w:t xml:space="preserve">Consistent utility </w:t>
            </w:r>
            <w:proofErr w:type="gramStart"/>
            <w:r>
              <w:rPr>
                <w:color w:val="000000"/>
              </w:rPr>
              <w:t>billing;</w:t>
            </w:r>
            <w:proofErr w:type="gramEnd"/>
            <w:r>
              <w:rPr>
                <w:color w:val="000000"/>
              </w:rPr>
              <w:t xml:space="preserve"> tap fees signal new construction</w:t>
            </w:r>
          </w:p>
        </w:tc>
      </w:tr>
      <w:tr w:rsidR="00DE5341" w14:paraId="528510A8" w14:textId="77777777">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47B71C50" w14:textId="77777777" w:rsidR="00DE5341" w:rsidRDefault="00000000">
            <w:r>
              <w:rPr>
                <w:color w:val="000000"/>
              </w:rPr>
              <w:t>Beach Fund (BF)</w:t>
            </w:r>
          </w:p>
        </w:tc>
        <w:tc>
          <w:tcPr>
            <w:tcW w:w="252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56C5F68A" w14:textId="77777777" w:rsidR="00DE5341" w:rsidRDefault="00000000">
            <w:r>
              <w:rPr>
                <w:color w:val="000000"/>
              </w:rPr>
              <w:t>Beach maintenance &amp; operations</w:t>
            </w:r>
          </w:p>
        </w:tc>
        <w:tc>
          <w:tcPr>
            <w:tcW w:w="168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038FDEEF" w14:textId="77777777" w:rsidR="00DE5341" w:rsidRDefault="00000000">
            <w:pPr>
              <w:jc w:val="center"/>
            </w:pPr>
            <w:r>
              <w:rPr>
                <w:b/>
                <w:bCs/>
                <w:color w:val="1A5C1A"/>
              </w:rPr>
              <w:t>+$35,448</w:t>
            </w:r>
          </w:p>
        </w:tc>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41681F49" w14:textId="77777777" w:rsidR="00DE5341" w:rsidRDefault="00000000">
            <w:r>
              <w:rPr>
                <w:color w:val="000000"/>
              </w:rPr>
              <w:t>$94,512 in seasonal beach permit sales — busy season opening</w:t>
            </w:r>
          </w:p>
        </w:tc>
      </w:tr>
      <w:tr w:rsidR="00DE5341" w14:paraId="5A74630F" w14:textId="77777777">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55DCCE67" w14:textId="77777777" w:rsidR="00DE5341" w:rsidRDefault="00000000">
            <w:r>
              <w:rPr>
                <w:color w:val="000000"/>
              </w:rPr>
              <w:t>Hotel/Motel Fund (HF)</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12E7294D" w14:textId="77777777" w:rsidR="00DE5341" w:rsidRDefault="00000000">
            <w:r>
              <w:rPr>
                <w:color w:val="000000"/>
              </w:rPr>
              <w:t>Tourism &amp; HOT-eligible projects</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49282752" w14:textId="77777777" w:rsidR="00DE5341" w:rsidRDefault="00000000">
            <w:pPr>
              <w:jc w:val="center"/>
            </w:pPr>
            <w:r>
              <w:rPr>
                <w:b/>
                <w:bCs/>
                <w:color w:val="1A5C1A"/>
              </w:rPr>
              <w:t>+$19,522</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24793F0C" w14:textId="77777777" w:rsidR="00DE5341" w:rsidRDefault="00000000">
            <w:r>
              <w:rPr>
                <w:color w:val="000000"/>
              </w:rPr>
              <w:t xml:space="preserve">$67,375 in hotel/motel tax revenue + $13,408 </w:t>
            </w:r>
            <w:proofErr w:type="spellStart"/>
            <w:r>
              <w:rPr>
                <w:color w:val="000000"/>
              </w:rPr>
              <w:t>TexPool</w:t>
            </w:r>
            <w:proofErr w:type="spellEnd"/>
            <w:r>
              <w:rPr>
                <w:color w:val="000000"/>
              </w:rPr>
              <w:t xml:space="preserve"> interest</w:t>
            </w:r>
          </w:p>
        </w:tc>
      </w:tr>
    </w:tbl>
    <w:p w14:paraId="3E091D07" w14:textId="77777777" w:rsidR="00DE5341" w:rsidRDefault="00DE5341">
      <w:pPr>
        <w:spacing w:before="40" w:after="40"/>
      </w:pPr>
    </w:p>
    <w:p w14:paraId="7EAB6291" w14:textId="77777777" w:rsidR="00DE5341" w:rsidRDefault="00000000">
      <w:pPr>
        <w:spacing w:before="60" w:after="60"/>
      </w:pPr>
      <w:r>
        <w:rPr>
          <w:color w:val="000000"/>
        </w:rPr>
        <w:t>The General Fund’s March deficit is normal and expected — the bulk of property tax revenue arrives in October through February, so March revenues are lower. The Beach Fund’s first profitable month of the year reflects the start of the spring/summer beach season, and System Fund revenues remain steady and consistent month to month.</w:t>
      </w:r>
    </w:p>
    <w:p w14:paraId="0FF14A64" w14:textId="77777777" w:rsidR="00DE5341" w:rsidRDefault="00000000">
      <w:pPr>
        <w:pBdr>
          <w:bottom w:val="single" w:sz="4" w:space="0" w:color="1F3864"/>
        </w:pBdr>
        <w:spacing w:before="180" w:after="60"/>
      </w:pPr>
      <w:r>
        <w:rPr>
          <w:b/>
          <w:bCs/>
          <w:color w:val="1F3864"/>
          <w:sz w:val="22"/>
          <w:szCs w:val="22"/>
        </w:rPr>
        <w:t>ARE WE ON BUDGET? (October 2025 – March 2026, Year-to-Date)</w:t>
      </w:r>
    </w:p>
    <w:p w14:paraId="36BF9F97" w14:textId="77777777" w:rsidR="00DE5341" w:rsidRDefault="00000000">
      <w:pPr>
        <w:spacing w:before="60" w:after="60"/>
      </w:pPr>
      <w:r>
        <w:rPr>
          <w:color w:val="000000"/>
        </w:rPr>
        <w:t xml:space="preserve">Six months into our fiscal year (which </w:t>
      </w:r>
      <w:proofErr w:type="gramStart"/>
      <w:r>
        <w:rPr>
          <w:color w:val="000000"/>
        </w:rPr>
        <w:t>runs</w:t>
      </w:r>
      <w:proofErr w:type="gramEnd"/>
      <w:r>
        <w:rPr>
          <w:color w:val="000000"/>
        </w:rPr>
        <w:t xml:space="preserve"> October through September), here’s how actual revenues compare to what was planned:</w:t>
      </w:r>
    </w:p>
    <w:p w14:paraId="705A45B6" w14:textId="77777777" w:rsidR="00DE5341" w:rsidRDefault="00DE5341">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2400"/>
        <w:gridCol w:w="2400"/>
        <w:gridCol w:w="2400"/>
      </w:tblGrid>
      <w:tr w:rsidR="00DE5341" w14:paraId="0D3C11FD" w14:textId="77777777">
        <w:tc>
          <w:tcPr>
            <w:tcW w:w="216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20" w:type="dxa"/>
              <w:bottom w:w="70" w:type="dxa"/>
              <w:right w:w="120" w:type="dxa"/>
            </w:tcMar>
            <w:vAlign w:val="center"/>
          </w:tcPr>
          <w:p w14:paraId="5231397F" w14:textId="77777777" w:rsidR="00DE5341" w:rsidRDefault="00000000">
            <w:r>
              <w:rPr>
                <w:b/>
                <w:bCs/>
                <w:color w:val="FFFFFF"/>
              </w:rPr>
              <w:t>Fund</w:t>
            </w:r>
          </w:p>
        </w:tc>
        <w:tc>
          <w:tcPr>
            <w:tcW w:w="24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20" w:type="dxa"/>
              <w:bottom w:w="70" w:type="dxa"/>
              <w:right w:w="120" w:type="dxa"/>
            </w:tcMar>
            <w:vAlign w:val="center"/>
          </w:tcPr>
          <w:p w14:paraId="4577AA02" w14:textId="77777777" w:rsidR="00DE5341" w:rsidRDefault="00000000">
            <w:pPr>
              <w:jc w:val="center"/>
            </w:pPr>
            <w:r>
              <w:rPr>
                <w:b/>
                <w:bCs/>
                <w:color w:val="FFFFFF"/>
              </w:rPr>
              <w:t>Revenue Status</w:t>
            </w:r>
          </w:p>
        </w:tc>
        <w:tc>
          <w:tcPr>
            <w:tcW w:w="24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20" w:type="dxa"/>
              <w:bottom w:w="70" w:type="dxa"/>
              <w:right w:w="120" w:type="dxa"/>
            </w:tcMar>
            <w:vAlign w:val="center"/>
          </w:tcPr>
          <w:p w14:paraId="1AC1E5A5" w14:textId="77777777" w:rsidR="00DE5341" w:rsidRDefault="00000000">
            <w:pPr>
              <w:jc w:val="center"/>
            </w:pPr>
            <w:r>
              <w:rPr>
                <w:b/>
                <w:bCs/>
                <w:color w:val="FFFFFF"/>
              </w:rPr>
              <w:t>Expense Status</w:t>
            </w:r>
          </w:p>
        </w:tc>
        <w:tc>
          <w:tcPr>
            <w:tcW w:w="24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20" w:type="dxa"/>
              <w:bottom w:w="70" w:type="dxa"/>
              <w:right w:w="120" w:type="dxa"/>
            </w:tcMar>
            <w:vAlign w:val="center"/>
          </w:tcPr>
          <w:p w14:paraId="1B93B965" w14:textId="77777777" w:rsidR="00DE5341" w:rsidRDefault="00000000">
            <w:pPr>
              <w:jc w:val="center"/>
            </w:pPr>
            <w:r>
              <w:rPr>
                <w:b/>
                <w:bCs/>
                <w:color w:val="FFFFFF"/>
              </w:rPr>
              <w:t>Overall</w:t>
            </w:r>
          </w:p>
        </w:tc>
      </w:tr>
      <w:tr w:rsidR="00DE5341" w14:paraId="74BC882B" w14:textId="77777777">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548AD686" w14:textId="77777777" w:rsidR="00DE5341" w:rsidRDefault="00000000">
            <w:r>
              <w:rPr>
                <w:color w:val="000000"/>
              </w:rPr>
              <w:t>General Fund</w:t>
            </w:r>
          </w:p>
        </w:tc>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6D54B4AF" w14:textId="77777777" w:rsidR="00DE5341" w:rsidRDefault="00000000">
            <w:pPr>
              <w:jc w:val="center"/>
            </w:pPr>
            <w:r>
              <w:rPr>
                <w:b/>
                <w:bCs/>
                <w:color w:val="1A5C1A"/>
              </w:rPr>
              <w:t>81% of budget ✔</w:t>
            </w:r>
          </w:p>
        </w:tc>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65A48DE4" w14:textId="77777777" w:rsidR="00DE5341" w:rsidRDefault="00000000">
            <w:pPr>
              <w:jc w:val="center"/>
            </w:pPr>
            <w:r>
              <w:rPr>
                <w:b/>
                <w:bCs/>
                <w:color w:val="1A5C1A"/>
              </w:rPr>
              <w:t>64% of budget ✔</w:t>
            </w:r>
          </w:p>
        </w:tc>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74E44874" w14:textId="77777777" w:rsidR="00DE5341" w:rsidRDefault="00000000">
            <w:pPr>
              <w:jc w:val="center"/>
            </w:pPr>
            <w:r>
              <w:rPr>
                <w:b/>
                <w:bCs/>
                <w:color w:val="1A5C1A"/>
              </w:rPr>
              <w:t>Strong</w:t>
            </w:r>
          </w:p>
        </w:tc>
      </w:tr>
      <w:tr w:rsidR="00DE5341" w14:paraId="108F7D05" w14:textId="77777777">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7FC0C78A" w14:textId="77777777" w:rsidR="00DE5341" w:rsidRDefault="00000000">
            <w:r>
              <w:rPr>
                <w:color w:val="000000"/>
              </w:rPr>
              <w:t>System Fund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21B3E4F5" w14:textId="77777777" w:rsidR="00DE5341" w:rsidRDefault="00000000">
            <w:pPr>
              <w:jc w:val="center"/>
            </w:pPr>
            <w:r>
              <w:rPr>
                <w:b/>
                <w:bCs/>
                <w:color w:val="1A5C1A"/>
              </w:rPr>
              <w:t>64% of budget ✔</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0D634D2B" w14:textId="77777777" w:rsidR="00DE5341" w:rsidRDefault="00000000">
            <w:pPr>
              <w:jc w:val="center"/>
            </w:pPr>
            <w:r>
              <w:rPr>
                <w:b/>
                <w:bCs/>
                <w:color w:val="1A5C1A"/>
              </w:rPr>
              <w:t>36% of budget ✔</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35942D02" w14:textId="77777777" w:rsidR="00DE5341" w:rsidRDefault="00000000">
            <w:pPr>
              <w:jc w:val="center"/>
            </w:pPr>
            <w:r>
              <w:rPr>
                <w:b/>
                <w:bCs/>
                <w:color w:val="1A5C1A"/>
              </w:rPr>
              <w:t>On Track</w:t>
            </w:r>
          </w:p>
        </w:tc>
      </w:tr>
      <w:tr w:rsidR="00DE5341" w14:paraId="6A231150" w14:textId="77777777">
        <w:tc>
          <w:tcPr>
            <w:tcW w:w="216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6BBBF3BE" w14:textId="77777777" w:rsidR="00DE5341" w:rsidRDefault="00000000">
            <w:r>
              <w:rPr>
                <w:color w:val="000000"/>
              </w:rPr>
              <w:t>HOT Fund</w:t>
            </w:r>
          </w:p>
        </w:tc>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2482B271" w14:textId="77777777" w:rsidR="00DE5341" w:rsidRDefault="00000000">
            <w:pPr>
              <w:jc w:val="center"/>
            </w:pPr>
            <w:r>
              <w:rPr>
                <w:b/>
                <w:bCs/>
                <w:color w:val="888800"/>
              </w:rPr>
              <w:t>47% of budget</w:t>
            </w:r>
          </w:p>
        </w:tc>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45045A9D" w14:textId="77777777" w:rsidR="00DE5341" w:rsidRDefault="00000000">
            <w:pPr>
              <w:jc w:val="center"/>
            </w:pPr>
            <w:r>
              <w:rPr>
                <w:b/>
                <w:bCs/>
                <w:color w:val="1A5C1A"/>
              </w:rPr>
              <w:t>On Track</w:t>
            </w:r>
          </w:p>
        </w:tc>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53151067" w14:textId="77777777" w:rsidR="00DE5341" w:rsidRDefault="00000000">
            <w:pPr>
              <w:jc w:val="center"/>
            </w:pPr>
            <w:r>
              <w:rPr>
                <w:b/>
                <w:bCs/>
                <w:color w:val="888800"/>
              </w:rPr>
              <w:t>Monitor</w:t>
            </w:r>
          </w:p>
        </w:tc>
      </w:tr>
      <w:tr w:rsidR="00DE5341" w14:paraId="58EB1B06" w14:textId="77777777">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5E5C185B" w14:textId="77777777" w:rsidR="00DE5341" w:rsidRDefault="00000000">
            <w:r>
              <w:rPr>
                <w:color w:val="000000"/>
              </w:rPr>
              <w:t>Beach Fund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0E1F434A" w14:textId="77777777" w:rsidR="00DE5341" w:rsidRDefault="00000000">
            <w:pPr>
              <w:jc w:val="center"/>
            </w:pPr>
            <w:r>
              <w:rPr>
                <w:b/>
                <w:bCs/>
                <w:color w:val="555555"/>
              </w:rPr>
              <w:t>Seasonal</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60651465" w14:textId="77777777" w:rsidR="00DE5341" w:rsidRDefault="00000000">
            <w:pPr>
              <w:jc w:val="center"/>
            </w:pPr>
            <w:r>
              <w:rPr>
                <w:b/>
                <w:bCs/>
                <w:color w:val="1A5C1A"/>
              </w:rPr>
              <w:t>45% of budget</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20CC4E78" w14:textId="77777777" w:rsidR="00DE5341" w:rsidRDefault="00000000">
            <w:pPr>
              <w:jc w:val="center"/>
            </w:pPr>
            <w:r>
              <w:rPr>
                <w:b/>
                <w:bCs/>
                <w:color w:val="555555"/>
              </w:rPr>
              <w:t>Expected*</w:t>
            </w:r>
          </w:p>
        </w:tc>
      </w:tr>
    </w:tbl>
    <w:p w14:paraId="4E788F51" w14:textId="77777777" w:rsidR="00DE5341" w:rsidRDefault="00DE5341">
      <w:pPr>
        <w:spacing w:before="40" w:after="40"/>
      </w:pPr>
    </w:p>
    <w:p w14:paraId="021F03FA" w14:textId="77777777" w:rsidR="00DE5341" w:rsidRDefault="00000000">
      <w:pPr>
        <w:spacing w:before="60" w:after="60"/>
      </w:pPr>
      <w:r>
        <w:rPr>
          <w:i/>
          <w:iCs/>
          <w:color w:val="555555"/>
          <w:sz w:val="17"/>
          <w:szCs w:val="17"/>
        </w:rPr>
        <w:t>*Beach Fund revenue is seasonal — the majority is collected April through August when visitors purchase beach parking permits. Low YTD revenue at the 6-month mark is completely normal. March’s strong permit sales ($94,512) signal the season is getting underway.</w:t>
      </w:r>
    </w:p>
    <w:p w14:paraId="7AE8305C" w14:textId="77777777" w:rsidR="00DE5341" w:rsidRDefault="00DE5341">
      <w:pPr>
        <w:spacing w:before="40" w:after="40"/>
      </w:pPr>
    </w:p>
    <w:p w14:paraId="38942F83" w14:textId="77777777" w:rsidR="00DE5341" w:rsidRDefault="00000000">
      <w:pPr>
        <w:spacing w:before="60" w:after="60"/>
      </w:pPr>
      <w:r>
        <w:rPr>
          <w:color w:val="000000"/>
        </w:rPr>
        <w:lastRenderedPageBreak/>
        <w:t>A note on EMS overtime: Finance staff have identified that EMS overtime wages in the General Fund are currently running at double the annual budgeted amount at the mid-year mark. This is being reviewed and will be brought to Council for a formal budget amendment before the busy summer season begins.</w:t>
      </w:r>
    </w:p>
    <w:p w14:paraId="27EF8956" w14:textId="77777777" w:rsidR="00DE5341" w:rsidRDefault="00000000">
      <w:pPr>
        <w:pBdr>
          <w:bottom w:val="single" w:sz="4" w:space="0" w:color="1F3864"/>
        </w:pBdr>
        <w:spacing w:before="180" w:after="60"/>
      </w:pPr>
      <w:r>
        <w:rPr>
          <w:b/>
          <w:bCs/>
          <w:color w:val="1F3864"/>
          <w:sz w:val="22"/>
          <w:szCs w:val="22"/>
        </w:rPr>
        <w:t>WHAT BILLS ARE OUTSTANDING?</w:t>
      </w:r>
    </w:p>
    <w:p w14:paraId="2B746C6E" w14:textId="77777777" w:rsidR="00DE5341" w:rsidRDefault="00000000">
      <w:pPr>
        <w:spacing w:before="60" w:after="60"/>
      </w:pPr>
      <w:r>
        <w:rPr>
          <w:color w:val="000000"/>
        </w:rPr>
        <w:t>As of March 31, 2026, the Village has $34,165 in unpaid invoices across all funds. Most are routine and current. A few items require attention:</w:t>
      </w:r>
    </w:p>
    <w:p w14:paraId="2C7076AD" w14:textId="77777777" w:rsidR="00DE5341" w:rsidRDefault="00DE5341">
      <w:pPr>
        <w:spacing w:before="40" w:after="40"/>
      </w:pPr>
    </w:p>
    <w:p w14:paraId="2F3CA36A" w14:textId="77777777" w:rsidR="00DE5341" w:rsidRDefault="00000000">
      <w:pPr>
        <w:pStyle w:val="ListParagraph"/>
        <w:numPr>
          <w:ilvl w:val="0"/>
          <w:numId w:val="2"/>
        </w:numPr>
        <w:spacing w:before="40" w:after="40"/>
      </w:pPr>
      <w:r>
        <w:rPr>
          <w:color w:val="000000"/>
        </w:rPr>
        <w:t>ENGIE RESOURCES: invoices across the HOT Fund (428 days past due) and System Fund (369 days past due) remain unresolved. Finance is following up.</w:t>
      </w:r>
    </w:p>
    <w:p w14:paraId="4455D347" w14:textId="77777777" w:rsidR="00DE5341" w:rsidRDefault="00000000">
      <w:pPr>
        <w:pStyle w:val="ListParagraph"/>
        <w:numPr>
          <w:ilvl w:val="0"/>
          <w:numId w:val="2"/>
        </w:numPr>
        <w:spacing w:before="40" w:after="40"/>
      </w:pPr>
      <w:r>
        <w:rPr>
          <w:color w:val="000000"/>
        </w:rPr>
        <w:t xml:space="preserve">Voyager Fleet Systems (System Fund): $1,365 — 390 days </w:t>
      </w:r>
      <w:proofErr w:type="gramStart"/>
      <w:r>
        <w:rPr>
          <w:color w:val="000000"/>
        </w:rPr>
        <w:t>past</w:t>
      </w:r>
      <w:proofErr w:type="gramEnd"/>
      <w:r>
        <w:rPr>
          <w:color w:val="000000"/>
        </w:rPr>
        <w:t xml:space="preserve"> due. Under review.</w:t>
      </w:r>
    </w:p>
    <w:p w14:paraId="2B97265B" w14:textId="77777777" w:rsidR="00DE5341" w:rsidRDefault="00000000">
      <w:pPr>
        <w:pStyle w:val="ListParagraph"/>
        <w:numPr>
          <w:ilvl w:val="0"/>
          <w:numId w:val="2"/>
        </w:numPr>
        <w:spacing w:before="40" w:after="40"/>
      </w:pPr>
      <w:r>
        <w:rPr>
          <w:color w:val="000000"/>
        </w:rPr>
        <w:t xml:space="preserve">James A. Babb (General Fund): $5,750 — 118 days </w:t>
      </w:r>
      <w:proofErr w:type="gramStart"/>
      <w:r>
        <w:rPr>
          <w:color w:val="000000"/>
        </w:rPr>
        <w:t>past</w:t>
      </w:r>
      <w:proofErr w:type="gramEnd"/>
      <w:r>
        <w:rPr>
          <w:color w:val="000000"/>
        </w:rPr>
        <w:t xml:space="preserve"> due. Finance recommends prompt payment or written direction from Council.</w:t>
      </w:r>
    </w:p>
    <w:p w14:paraId="60A7498C" w14:textId="77777777" w:rsidR="00DE5341" w:rsidRDefault="00000000">
      <w:pPr>
        <w:pBdr>
          <w:bottom w:val="single" w:sz="4" w:space="0" w:color="1F3864"/>
        </w:pBdr>
        <w:spacing w:before="180" w:after="60"/>
      </w:pPr>
      <w:r>
        <w:rPr>
          <w:b/>
          <w:bCs/>
          <w:color w:val="1F3864"/>
          <w:sz w:val="22"/>
          <w:szCs w:val="22"/>
        </w:rPr>
        <w:t>HOTEL TAX FUND TRANSPARENCY UPDATE</w:t>
      </w:r>
    </w:p>
    <w:p w14:paraId="0CBD6D8F" w14:textId="77777777" w:rsidR="00DE5341" w:rsidRDefault="00000000">
      <w:pPr>
        <w:spacing w:before="60" w:after="60"/>
      </w:pPr>
      <w:r>
        <w:rPr>
          <w:color w:val="000000"/>
        </w:rPr>
        <w:t xml:space="preserve">Your Village has completed an important step to improve transparency around the Hotel/Motel Tax Fund. On April 7, 2026, $2,463,351 in legally restricted state funds was moved into its own dedicated </w:t>
      </w:r>
      <w:proofErr w:type="spellStart"/>
      <w:r>
        <w:rPr>
          <w:color w:val="000000"/>
        </w:rPr>
        <w:t>TexPool</w:t>
      </w:r>
      <w:proofErr w:type="spellEnd"/>
      <w:r>
        <w:rPr>
          <w:color w:val="000000"/>
        </w:rPr>
        <w:t xml:space="preserve"> account, completely separated from the general Hotel Tax operating reserve.</w:t>
      </w:r>
    </w:p>
    <w:p w14:paraId="5A20B76D" w14:textId="77777777" w:rsidR="00DE5341" w:rsidRDefault="00DE5341">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0"/>
        <w:gridCol w:w="1680"/>
        <w:gridCol w:w="2280"/>
      </w:tblGrid>
      <w:tr w:rsidR="00DE5341" w14:paraId="130CB5EE" w14:textId="77777777">
        <w:tc>
          <w:tcPr>
            <w:tcW w:w="540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20" w:type="dxa"/>
              <w:bottom w:w="70" w:type="dxa"/>
              <w:right w:w="120" w:type="dxa"/>
            </w:tcMar>
            <w:vAlign w:val="center"/>
          </w:tcPr>
          <w:p w14:paraId="3429BE72" w14:textId="77777777" w:rsidR="00DE5341" w:rsidRDefault="00000000">
            <w:r>
              <w:rPr>
                <w:b/>
                <w:bCs/>
                <w:color w:val="FFFFFF"/>
              </w:rPr>
              <w:t>Fund Component</w:t>
            </w:r>
          </w:p>
        </w:tc>
        <w:tc>
          <w:tcPr>
            <w:tcW w:w="168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20" w:type="dxa"/>
              <w:bottom w:w="70" w:type="dxa"/>
              <w:right w:w="120" w:type="dxa"/>
            </w:tcMar>
            <w:vAlign w:val="center"/>
          </w:tcPr>
          <w:p w14:paraId="407BD9D4" w14:textId="77777777" w:rsidR="00DE5341" w:rsidRDefault="00000000">
            <w:pPr>
              <w:jc w:val="center"/>
            </w:pPr>
            <w:r>
              <w:rPr>
                <w:b/>
                <w:bCs/>
                <w:color w:val="FFFFFF"/>
              </w:rPr>
              <w:t>Percentage</w:t>
            </w:r>
          </w:p>
        </w:tc>
        <w:tc>
          <w:tcPr>
            <w:tcW w:w="2280" w:type="dxa"/>
            <w:tcBorders>
              <w:top w:val="single" w:sz="1" w:space="0" w:color="CCCCCC"/>
              <w:left w:val="single" w:sz="1" w:space="0" w:color="CCCCCC"/>
              <w:bottom w:val="single" w:sz="1" w:space="0" w:color="CCCCCC"/>
              <w:right w:val="single" w:sz="1" w:space="0" w:color="CCCCCC"/>
            </w:tcBorders>
            <w:shd w:val="clear" w:color="auto" w:fill="1F3864"/>
            <w:tcMar>
              <w:top w:w="70" w:type="dxa"/>
              <w:left w:w="120" w:type="dxa"/>
              <w:bottom w:w="70" w:type="dxa"/>
              <w:right w:w="120" w:type="dxa"/>
            </w:tcMar>
            <w:vAlign w:val="center"/>
          </w:tcPr>
          <w:p w14:paraId="6A607F9E" w14:textId="77777777" w:rsidR="00DE5341" w:rsidRDefault="00000000">
            <w:pPr>
              <w:jc w:val="right"/>
            </w:pPr>
            <w:r>
              <w:rPr>
                <w:b/>
                <w:bCs/>
                <w:color w:val="FFFFFF"/>
              </w:rPr>
              <w:t>Amount</w:t>
            </w:r>
          </w:p>
        </w:tc>
      </w:tr>
      <w:tr w:rsidR="00DE5341" w14:paraId="6E4D130F" w14:textId="77777777">
        <w:tc>
          <w:tcPr>
            <w:tcW w:w="540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69AC23A8" w14:textId="77777777" w:rsidR="00DE5341" w:rsidRDefault="00000000">
            <w:r>
              <w:rPr>
                <w:b/>
                <w:bCs/>
                <w:color w:val="000000"/>
              </w:rPr>
              <w:t>HB1915 State Rebate Funds — Beach Maintenance ONLY (restricted)</w:t>
            </w:r>
          </w:p>
        </w:tc>
        <w:tc>
          <w:tcPr>
            <w:tcW w:w="168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0BE0C6B7" w14:textId="77777777" w:rsidR="00DE5341" w:rsidRDefault="00000000">
            <w:pPr>
              <w:jc w:val="center"/>
            </w:pPr>
            <w:r>
              <w:rPr>
                <w:color w:val="000000"/>
              </w:rPr>
              <w:t>57%</w:t>
            </w:r>
          </w:p>
        </w:tc>
        <w:tc>
          <w:tcPr>
            <w:tcW w:w="2280" w:type="dxa"/>
            <w:tcBorders>
              <w:top w:val="single" w:sz="1" w:space="0" w:color="CCCCCC"/>
              <w:left w:val="single" w:sz="1" w:space="0" w:color="CCCCCC"/>
              <w:bottom w:val="single" w:sz="1" w:space="0" w:color="CCCCCC"/>
              <w:right w:val="single" w:sz="1" w:space="0" w:color="CCCCCC"/>
            </w:tcBorders>
            <w:shd w:val="clear" w:color="auto" w:fill="D6E4F0"/>
            <w:tcMar>
              <w:top w:w="70" w:type="dxa"/>
              <w:left w:w="120" w:type="dxa"/>
              <w:bottom w:w="70" w:type="dxa"/>
              <w:right w:w="120" w:type="dxa"/>
            </w:tcMar>
            <w:vAlign w:val="center"/>
          </w:tcPr>
          <w:p w14:paraId="4934166C" w14:textId="77777777" w:rsidR="00DE5341" w:rsidRDefault="00000000">
            <w:pPr>
              <w:jc w:val="right"/>
            </w:pPr>
            <w:r>
              <w:rPr>
                <w:color w:val="000000"/>
              </w:rPr>
              <w:t>$2,463,351.00</w:t>
            </w:r>
          </w:p>
        </w:tc>
      </w:tr>
      <w:tr w:rsidR="00DE5341" w14:paraId="60032907" w14:textId="77777777">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1DE120E2" w14:textId="77777777" w:rsidR="00DE5341" w:rsidRDefault="00000000">
            <w:r>
              <w:rPr>
                <w:color w:val="000000"/>
              </w:rPr>
              <w:t>Chapter 351 Municipal HOT — General Tourism Purposes</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60B75072" w14:textId="77777777" w:rsidR="00DE5341" w:rsidRDefault="00000000">
            <w:pPr>
              <w:jc w:val="center"/>
            </w:pPr>
            <w:r>
              <w:rPr>
                <w:color w:val="000000"/>
              </w:rPr>
              <w:t>43%</w:t>
            </w:r>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vAlign w:val="center"/>
          </w:tcPr>
          <w:p w14:paraId="73961727" w14:textId="77777777" w:rsidR="00DE5341" w:rsidRDefault="00000000">
            <w:pPr>
              <w:jc w:val="right"/>
            </w:pPr>
            <w:r>
              <w:rPr>
                <w:color w:val="000000"/>
              </w:rPr>
              <w:t>$1,848,700.33</w:t>
            </w:r>
          </w:p>
        </w:tc>
      </w:tr>
      <w:tr w:rsidR="00DE5341" w14:paraId="4094AF8A" w14:textId="77777777">
        <w:tc>
          <w:tcPr>
            <w:tcW w:w="5400" w:type="dxa"/>
            <w:tcBorders>
              <w:top w:val="single" w:sz="1" w:space="0" w:color="CCCCCC"/>
              <w:left w:val="single" w:sz="1" w:space="0" w:color="CCCCCC"/>
              <w:bottom w:val="single" w:sz="1" w:space="0" w:color="CCCCCC"/>
              <w:right w:val="single" w:sz="1" w:space="0" w:color="CCCCCC"/>
            </w:tcBorders>
            <w:shd w:val="clear" w:color="auto" w:fill="BDD7EE"/>
            <w:tcMar>
              <w:top w:w="70" w:type="dxa"/>
              <w:left w:w="120" w:type="dxa"/>
              <w:bottom w:w="70" w:type="dxa"/>
              <w:right w:w="120" w:type="dxa"/>
            </w:tcMar>
            <w:vAlign w:val="center"/>
          </w:tcPr>
          <w:p w14:paraId="7449E71A" w14:textId="77777777" w:rsidR="00DE5341" w:rsidRDefault="00000000">
            <w:r>
              <w:rPr>
                <w:b/>
                <w:bCs/>
                <w:color w:val="000000"/>
              </w:rPr>
              <w:t>Total Hotel/Motel Tax Fund (</w:t>
            </w:r>
            <w:proofErr w:type="spellStart"/>
            <w:r>
              <w:rPr>
                <w:b/>
                <w:bCs/>
                <w:color w:val="000000"/>
              </w:rPr>
              <w:t>TexPool</w:t>
            </w:r>
            <w:proofErr w:type="spellEnd"/>
            <w:r>
              <w:rPr>
                <w:b/>
                <w:bCs/>
                <w:color w:val="000000"/>
              </w:rPr>
              <w:t>)</w:t>
            </w:r>
          </w:p>
        </w:tc>
        <w:tc>
          <w:tcPr>
            <w:tcW w:w="1680" w:type="dxa"/>
            <w:tcBorders>
              <w:top w:val="single" w:sz="1" w:space="0" w:color="CCCCCC"/>
              <w:left w:val="single" w:sz="1" w:space="0" w:color="CCCCCC"/>
              <w:bottom w:val="single" w:sz="1" w:space="0" w:color="CCCCCC"/>
              <w:right w:val="single" w:sz="1" w:space="0" w:color="CCCCCC"/>
            </w:tcBorders>
            <w:shd w:val="clear" w:color="auto" w:fill="BDD7EE"/>
            <w:tcMar>
              <w:top w:w="70" w:type="dxa"/>
              <w:left w:w="120" w:type="dxa"/>
              <w:bottom w:w="70" w:type="dxa"/>
              <w:right w:w="120" w:type="dxa"/>
            </w:tcMar>
            <w:vAlign w:val="center"/>
          </w:tcPr>
          <w:p w14:paraId="5233D06C" w14:textId="77777777" w:rsidR="00DE5341" w:rsidRDefault="00000000">
            <w:pPr>
              <w:jc w:val="center"/>
            </w:pPr>
            <w:r>
              <w:rPr>
                <w:b/>
                <w:bCs/>
                <w:color w:val="000000"/>
              </w:rPr>
              <w:t>100%</w:t>
            </w:r>
          </w:p>
        </w:tc>
        <w:tc>
          <w:tcPr>
            <w:tcW w:w="2280" w:type="dxa"/>
            <w:tcBorders>
              <w:top w:val="single" w:sz="1" w:space="0" w:color="CCCCCC"/>
              <w:left w:val="single" w:sz="1" w:space="0" w:color="CCCCCC"/>
              <w:bottom w:val="single" w:sz="1" w:space="0" w:color="CCCCCC"/>
              <w:right w:val="single" w:sz="1" w:space="0" w:color="CCCCCC"/>
            </w:tcBorders>
            <w:shd w:val="clear" w:color="auto" w:fill="BDD7EE"/>
            <w:tcMar>
              <w:top w:w="70" w:type="dxa"/>
              <w:left w:w="120" w:type="dxa"/>
              <w:bottom w:w="70" w:type="dxa"/>
              <w:right w:w="120" w:type="dxa"/>
            </w:tcMar>
            <w:vAlign w:val="center"/>
          </w:tcPr>
          <w:p w14:paraId="28CFA25E" w14:textId="77777777" w:rsidR="00DE5341" w:rsidRDefault="00000000">
            <w:pPr>
              <w:jc w:val="right"/>
            </w:pPr>
            <w:r>
              <w:rPr>
                <w:b/>
                <w:bCs/>
                <w:color w:val="000000"/>
              </w:rPr>
              <w:t>$4,312,051.33</w:t>
            </w:r>
          </w:p>
        </w:tc>
      </w:tr>
    </w:tbl>
    <w:p w14:paraId="231F0E3C" w14:textId="77777777" w:rsidR="00DE5341" w:rsidRDefault="00DE5341">
      <w:pPr>
        <w:spacing w:before="40" w:after="40"/>
      </w:pPr>
    </w:p>
    <w:p w14:paraId="7971EA1C" w14:textId="77777777" w:rsidR="00DE5341" w:rsidRDefault="00000000">
      <w:pPr>
        <w:spacing w:before="60" w:after="60"/>
      </w:pPr>
      <w:r>
        <w:rPr>
          <w:color w:val="000000"/>
        </w:rPr>
        <w:t xml:space="preserve">What </w:t>
      </w:r>
      <w:proofErr w:type="gramStart"/>
      <w:r>
        <w:rPr>
          <w:color w:val="000000"/>
        </w:rPr>
        <w:t>this</w:t>
      </w:r>
      <w:proofErr w:type="gramEnd"/>
      <w:r>
        <w:rPr>
          <w:color w:val="000000"/>
        </w:rPr>
        <w:t xml:space="preserve"> means for residents:</w:t>
      </w:r>
    </w:p>
    <w:p w14:paraId="222F3DF8" w14:textId="77777777" w:rsidR="00DE5341" w:rsidRDefault="00000000">
      <w:pPr>
        <w:pStyle w:val="ListParagraph"/>
        <w:numPr>
          <w:ilvl w:val="0"/>
          <w:numId w:val="2"/>
        </w:numPr>
        <w:spacing w:before="40" w:after="40"/>
      </w:pPr>
      <w:r>
        <w:rPr>
          <w:color w:val="000000"/>
        </w:rPr>
        <w:t>The $2,463,351 in HB1915 funds came from state rebates and can ONLY be spent on three things: cleaning and maintaining public beaches, dune mitigation and restoration, and maintaining bay shorelines — nothing else.</w:t>
      </w:r>
    </w:p>
    <w:p w14:paraId="09690812" w14:textId="1F5DD462" w:rsidR="00DE5341" w:rsidRDefault="00000000">
      <w:pPr>
        <w:pStyle w:val="ListParagraph"/>
        <w:numPr>
          <w:ilvl w:val="0"/>
          <w:numId w:val="2"/>
        </w:numPr>
        <w:spacing w:before="40" w:after="40"/>
      </w:pPr>
      <w:r>
        <w:rPr>
          <w:color w:val="000000"/>
        </w:rPr>
        <w:t>The funds are now held in a completely separate account (</w:t>
      </w:r>
      <w:proofErr w:type="spellStart"/>
      <w:r>
        <w:rPr>
          <w:color w:val="000000"/>
        </w:rPr>
        <w:t>TexPool</w:t>
      </w:r>
      <w:proofErr w:type="spellEnd"/>
      <w:r>
        <w:rPr>
          <w:color w:val="000000"/>
        </w:rPr>
        <w:t xml:space="preserve"> Account</w:t>
      </w:r>
      <w:r w:rsidR="00D103F9">
        <w:rPr>
          <w:color w:val="000000"/>
        </w:rPr>
        <w:t>)</w:t>
      </w:r>
      <w:r>
        <w:rPr>
          <w:color w:val="000000"/>
        </w:rPr>
        <w:t>, so they will never be mixed with general hotel tax revenues again. This ensures full transparency and legal compliance.</w:t>
      </w:r>
    </w:p>
    <w:p w14:paraId="1D675E20" w14:textId="77777777" w:rsidR="00DE5341" w:rsidRDefault="00000000">
      <w:pPr>
        <w:pStyle w:val="ListParagraph"/>
        <w:numPr>
          <w:ilvl w:val="0"/>
          <w:numId w:val="2"/>
        </w:numPr>
        <w:spacing w:before="40" w:after="40"/>
      </w:pPr>
      <w:r>
        <w:rPr>
          <w:color w:val="000000"/>
        </w:rPr>
        <w:t>The remaining $1,848,700 in the HOT Local Reserve can be used for a broader range of tourism-related purposes under Chapter 351, including advertising, special events, and park improvements.</w:t>
      </w:r>
    </w:p>
    <w:p w14:paraId="2192C552" w14:textId="77777777" w:rsidR="00DE5341" w:rsidRDefault="00000000">
      <w:pPr>
        <w:pBdr>
          <w:bottom w:val="single" w:sz="4" w:space="0" w:color="1F3864"/>
        </w:pBdr>
        <w:shd w:val="clear" w:color="auto" w:fill="1F3864"/>
        <w:spacing w:before="80" w:after="60"/>
      </w:pPr>
      <w:r>
        <w:rPr>
          <w:b/>
          <w:bCs/>
          <w:color w:val="FFFFFF"/>
          <w:sz w:val="22"/>
          <w:szCs w:val="22"/>
        </w:rPr>
        <w:t xml:space="preserve">  BOTTOM LINE FOR RESIDENTS</w:t>
      </w:r>
    </w:p>
    <w:p w14:paraId="16A8B083" w14:textId="77777777" w:rsidR="00DE5341" w:rsidRDefault="00000000">
      <w:pPr>
        <w:spacing w:before="60" w:after="60"/>
      </w:pPr>
      <w:r>
        <w:rPr>
          <w:color w:val="000000"/>
        </w:rPr>
        <w:t>The Village of Surfside Beach is in a stable financial position heading into the spring and summer busy season. The General Fund is well ahead of its annual revenue target thanks to strong property tax collections. Water and sewer services are running profitably. The beach season is opening with strong permit sales, and your hotel tax funds are now fully segregated and transparently managed in accordance with state law.</w:t>
      </w:r>
    </w:p>
    <w:p w14:paraId="60883D45" w14:textId="77777777" w:rsidR="00DE5341" w:rsidRDefault="00000000">
      <w:pPr>
        <w:spacing w:after="80"/>
      </w:pPr>
      <w:r>
        <w:rPr>
          <w:color w:val="000000"/>
        </w:rPr>
        <w:t xml:space="preserve">Your elected officials and Finance staff are actively monitoring several budget lines that are running ahead of pace — particularly EMS overtime — and will bring formal budget amendments to Council before the busy season drives </w:t>
      </w:r>
      <w:proofErr w:type="gramStart"/>
      <w:r>
        <w:rPr>
          <w:color w:val="000000"/>
        </w:rPr>
        <w:t>costs higher</w:t>
      </w:r>
      <w:proofErr w:type="gramEnd"/>
      <w:r>
        <w:rPr>
          <w:color w:val="000000"/>
        </w:rPr>
        <w:t>.</w:t>
      </w:r>
    </w:p>
    <w:p w14:paraId="6472CECA" w14:textId="77777777" w:rsidR="00393ADD" w:rsidRDefault="00393ADD">
      <w:pPr>
        <w:spacing w:before="40" w:after="40"/>
        <w:rPr>
          <w:color w:val="555555"/>
        </w:rPr>
      </w:pPr>
    </w:p>
    <w:p w14:paraId="34090C91" w14:textId="77777777" w:rsidR="00393ADD" w:rsidRDefault="00393ADD">
      <w:pPr>
        <w:spacing w:before="40" w:after="40"/>
        <w:rPr>
          <w:color w:val="555555"/>
        </w:rPr>
      </w:pPr>
    </w:p>
    <w:p w14:paraId="15C14813" w14:textId="77777777" w:rsidR="00393ADD" w:rsidRDefault="00393ADD">
      <w:pPr>
        <w:spacing w:before="40" w:after="40"/>
        <w:rPr>
          <w:color w:val="555555"/>
        </w:rPr>
      </w:pPr>
    </w:p>
    <w:p w14:paraId="4177D09D" w14:textId="77777777" w:rsidR="00393ADD" w:rsidRDefault="00393ADD">
      <w:pPr>
        <w:spacing w:before="40" w:after="40"/>
        <w:rPr>
          <w:color w:val="555555"/>
        </w:rPr>
      </w:pPr>
    </w:p>
    <w:p w14:paraId="6695B215" w14:textId="77777777" w:rsidR="00393ADD" w:rsidRDefault="00393ADD">
      <w:pPr>
        <w:spacing w:before="40" w:after="40"/>
        <w:rPr>
          <w:color w:val="555555"/>
        </w:rPr>
      </w:pPr>
    </w:p>
    <w:p w14:paraId="3227BF50" w14:textId="77777777" w:rsidR="00393ADD" w:rsidRDefault="00393ADD">
      <w:pPr>
        <w:spacing w:before="40" w:after="40"/>
        <w:rPr>
          <w:color w:val="555555"/>
        </w:rPr>
      </w:pPr>
    </w:p>
    <w:p w14:paraId="5B42BAD5" w14:textId="77777777" w:rsidR="00393ADD" w:rsidRDefault="00393ADD">
      <w:pPr>
        <w:spacing w:before="40" w:after="40"/>
        <w:rPr>
          <w:color w:val="555555"/>
        </w:rPr>
      </w:pPr>
    </w:p>
    <w:p w14:paraId="52F8F23C" w14:textId="77777777" w:rsidR="00393ADD" w:rsidRDefault="00393ADD">
      <w:pPr>
        <w:spacing w:before="40" w:after="40"/>
        <w:rPr>
          <w:color w:val="555555"/>
        </w:rPr>
      </w:pPr>
    </w:p>
    <w:p w14:paraId="308B3FF4" w14:textId="77777777" w:rsidR="00393ADD" w:rsidRDefault="00393ADD">
      <w:pPr>
        <w:spacing w:before="40" w:after="40"/>
        <w:rPr>
          <w:color w:val="555555"/>
        </w:rPr>
      </w:pPr>
    </w:p>
    <w:p w14:paraId="65A37C4C" w14:textId="3371D1D2" w:rsidR="00DE5341" w:rsidRDefault="00000000">
      <w:pPr>
        <w:spacing w:before="40" w:after="40"/>
      </w:pPr>
      <w:r>
        <w:rPr>
          <w:color w:val="555555"/>
        </w:rPr>
        <w:t>Questions? Contact Village Hall or attend the next Council meeting for a full briefing.</w:t>
      </w:r>
    </w:p>
    <w:sectPr w:rsidR="00DE5341">
      <w:footerReference w:type="default" r:id="rId7"/>
      <w:pgSz w:w="12240" w:h="15840"/>
      <w:pgMar w:top="900" w:right="1080" w:bottom="9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2C65" w14:textId="77777777" w:rsidR="005A5722" w:rsidRDefault="005A5722">
      <w:r>
        <w:separator/>
      </w:r>
    </w:p>
  </w:endnote>
  <w:endnote w:type="continuationSeparator" w:id="0">
    <w:p w14:paraId="28233638" w14:textId="77777777" w:rsidR="005A5722" w:rsidRDefault="005A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F8D0" w14:textId="77777777" w:rsidR="00DE5341" w:rsidRDefault="00000000">
    <w:pPr>
      <w:pBdr>
        <w:top w:val="single" w:sz="4" w:space="4" w:color="CCCCCC"/>
      </w:pBdr>
      <w:spacing w:before="60"/>
      <w:jc w:val="center"/>
    </w:pPr>
    <w:r>
      <w:rPr>
        <w:i/>
        <w:iCs/>
        <w:color w:val="555555"/>
        <w:sz w:val="17"/>
        <w:szCs w:val="17"/>
      </w:rPr>
      <w:t xml:space="preserve">Village of Surfside </w:t>
    </w:r>
    <w:proofErr w:type="gramStart"/>
    <w:r>
      <w:rPr>
        <w:i/>
        <w:iCs/>
        <w:color w:val="555555"/>
        <w:sz w:val="17"/>
        <w:szCs w:val="17"/>
      </w:rPr>
      <w:t>Beach  |</w:t>
    </w:r>
    <w:proofErr w:type="gramEnd"/>
    <w:r>
      <w:rPr>
        <w:i/>
        <w:iCs/>
        <w:color w:val="555555"/>
        <w:sz w:val="17"/>
        <w:szCs w:val="17"/>
      </w:rPr>
      <w:t xml:space="preserve">  Finance </w:t>
    </w:r>
    <w:proofErr w:type="gramStart"/>
    <w:r>
      <w:rPr>
        <w:i/>
        <w:iCs/>
        <w:color w:val="555555"/>
        <w:sz w:val="17"/>
        <w:szCs w:val="17"/>
      </w:rPr>
      <w:t>Department  |</w:t>
    </w:r>
    <w:proofErr w:type="gramEnd"/>
    <w:r>
      <w:rPr>
        <w:i/>
        <w:iCs/>
        <w:color w:val="555555"/>
        <w:sz w:val="17"/>
        <w:szCs w:val="17"/>
      </w:rPr>
      <w:t xml:space="preserve">  March 2026 Resident Financial Summary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D3F56" w14:textId="77777777" w:rsidR="005A5722" w:rsidRDefault="005A5722">
      <w:r>
        <w:separator/>
      </w:r>
    </w:p>
  </w:footnote>
  <w:footnote w:type="continuationSeparator" w:id="0">
    <w:p w14:paraId="7C2C9B1B" w14:textId="77777777" w:rsidR="005A5722" w:rsidRDefault="005A5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167F4"/>
    <w:multiLevelType w:val="hybridMultilevel"/>
    <w:tmpl w:val="A33A5718"/>
    <w:lvl w:ilvl="0" w:tplc="B0509A14">
      <w:start w:val="1"/>
      <w:numFmt w:val="bullet"/>
      <w:lvlText w:val="●"/>
      <w:lvlJc w:val="left"/>
      <w:pPr>
        <w:ind w:left="720" w:hanging="360"/>
      </w:pPr>
    </w:lvl>
    <w:lvl w:ilvl="1" w:tplc="9CE47DA6">
      <w:start w:val="1"/>
      <w:numFmt w:val="bullet"/>
      <w:lvlText w:val="○"/>
      <w:lvlJc w:val="left"/>
      <w:pPr>
        <w:ind w:left="1440" w:hanging="360"/>
      </w:pPr>
    </w:lvl>
    <w:lvl w:ilvl="2" w:tplc="C6B8019A">
      <w:start w:val="1"/>
      <w:numFmt w:val="bullet"/>
      <w:lvlText w:val="■"/>
      <w:lvlJc w:val="left"/>
      <w:pPr>
        <w:ind w:left="2160" w:hanging="360"/>
      </w:pPr>
    </w:lvl>
    <w:lvl w:ilvl="3" w:tplc="E446D42E">
      <w:start w:val="1"/>
      <w:numFmt w:val="bullet"/>
      <w:lvlText w:val="●"/>
      <w:lvlJc w:val="left"/>
      <w:pPr>
        <w:ind w:left="2880" w:hanging="360"/>
      </w:pPr>
    </w:lvl>
    <w:lvl w:ilvl="4" w:tplc="A614D014">
      <w:start w:val="1"/>
      <w:numFmt w:val="bullet"/>
      <w:lvlText w:val="○"/>
      <w:lvlJc w:val="left"/>
      <w:pPr>
        <w:ind w:left="3600" w:hanging="360"/>
      </w:pPr>
    </w:lvl>
    <w:lvl w:ilvl="5" w:tplc="12689F48">
      <w:start w:val="1"/>
      <w:numFmt w:val="bullet"/>
      <w:lvlText w:val="■"/>
      <w:lvlJc w:val="left"/>
      <w:pPr>
        <w:ind w:left="4320" w:hanging="360"/>
      </w:pPr>
    </w:lvl>
    <w:lvl w:ilvl="6" w:tplc="F6CC7AC8">
      <w:start w:val="1"/>
      <w:numFmt w:val="bullet"/>
      <w:lvlText w:val="●"/>
      <w:lvlJc w:val="left"/>
      <w:pPr>
        <w:ind w:left="5040" w:hanging="360"/>
      </w:pPr>
    </w:lvl>
    <w:lvl w:ilvl="7" w:tplc="BF9A1A66">
      <w:start w:val="1"/>
      <w:numFmt w:val="bullet"/>
      <w:lvlText w:val="●"/>
      <w:lvlJc w:val="left"/>
      <w:pPr>
        <w:ind w:left="5760" w:hanging="360"/>
      </w:pPr>
    </w:lvl>
    <w:lvl w:ilvl="8" w:tplc="0414ADA4">
      <w:start w:val="1"/>
      <w:numFmt w:val="bullet"/>
      <w:lvlText w:val="●"/>
      <w:lvlJc w:val="left"/>
      <w:pPr>
        <w:ind w:left="6480" w:hanging="360"/>
      </w:pPr>
    </w:lvl>
  </w:abstractNum>
  <w:abstractNum w:abstractNumId="1" w15:restartNumberingAfterBreak="0">
    <w:nsid w:val="53F4102B"/>
    <w:multiLevelType w:val="hybridMultilevel"/>
    <w:tmpl w:val="D206C3BE"/>
    <w:lvl w:ilvl="0" w:tplc="D9D431C4">
      <w:start w:val="1"/>
      <w:numFmt w:val="bullet"/>
      <w:lvlText w:val="•"/>
      <w:lvlJc w:val="left"/>
      <w:pPr>
        <w:ind w:left="720" w:hanging="360"/>
      </w:pPr>
    </w:lvl>
    <w:lvl w:ilvl="1" w:tplc="A3B030E2">
      <w:numFmt w:val="decimal"/>
      <w:lvlText w:val=""/>
      <w:lvlJc w:val="left"/>
    </w:lvl>
    <w:lvl w:ilvl="2" w:tplc="D1D47002">
      <w:numFmt w:val="decimal"/>
      <w:lvlText w:val=""/>
      <w:lvlJc w:val="left"/>
    </w:lvl>
    <w:lvl w:ilvl="3" w:tplc="97D09CD4">
      <w:numFmt w:val="decimal"/>
      <w:lvlText w:val=""/>
      <w:lvlJc w:val="left"/>
    </w:lvl>
    <w:lvl w:ilvl="4" w:tplc="05CA8C4A">
      <w:numFmt w:val="decimal"/>
      <w:lvlText w:val=""/>
      <w:lvlJc w:val="left"/>
    </w:lvl>
    <w:lvl w:ilvl="5" w:tplc="8DF473CA">
      <w:numFmt w:val="decimal"/>
      <w:lvlText w:val=""/>
      <w:lvlJc w:val="left"/>
    </w:lvl>
    <w:lvl w:ilvl="6" w:tplc="820ED5C6">
      <w:numFmt w:val="decimal"/>
      <w:lvlText w:val=""/>
      <w:lvlJc w:val="left"/>
    </w:lvl>
    <w:lvl w:ilvl="7" w:tplc="838E4CA2">
      <w:numFmt w:val="decimal"/>
      <w:lvlText w:val=""/>
      <w:lvlJc w:val="left"/>
    </w:lvl>
    <w:lvl w:ilvl="8" w:tplc="3E20CE9E">
      <w:numFmt w:val="decimal"/>
      <w:lvlText w:val=""/>
      <w:lvlJc w:val="left"/>
    </w:lvl>
  </w:abstractNum>
  <w:num w:numId="1" w16cid:durableId="133645189">
    <w:abstractNumId w:val="0"/>
    <w:lvlOverride w:ilvl="0">
      <w:startOverride w:val="1"/>
    </w:lvlOverride>
  </w:num>
  <w:num w:numId="2" w16cid:durableId="136413449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41"/>
    <w:rsid w:val="00076357"/>
    <w:rsid w:val="00393ADD"/>
    <w:rsid w:val="00552C2F"/>
    <w:rsid w:val="005A5722"/>
    <w:rsid w:val="009B188F"/>
    <w:rsid w:val="009E5017"/>
    <w:rsid w:val="00C52872"/>
    <w:rsid w:val="00D103F9"/>
    <w:rsid w:val="00DE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673F5"/>
  <w15:docId w15:val="{A3A0B3F4-D025-4F41-8E33-3D77D601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9"/>
        <w:szCs w:val="19"/>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836</Words>
  <Characters>4587</Characters>
  <Application>Microsoft Office Word</Application>
  <DocSecurity>0</DocSecurity>
  <Lines>138</Lines>
  <Paragraphs>90</Paragraphs>
  <ScaleCrop>false</ScaleCrop>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Briones</cp:lastModifiedBy>
  <cp:revision>3</cp:revision>
  <cp:lastPrinted>2026-04-10T16:45:00Z</cp:lastPrinted>
  <dcterms:created xsi:type="dcterms:W3CDTF">2026-04-10T16:40:00Z</dcterms:created>
  <dcterms:modified xsi:type="dcterms:W3CDTF">2026-04-10T16:50:00Z</dcterms:modified>
</cp:coreProperties>
</file>